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rPr>
          <w:b/>
          <w:bCs/>
          <w:sz w:val="40"/>
          <w:szCs w:val="40"/>
        </w:rPr>
      </w:pPr>
    </w:p>
    <w:p w:rsidR="0058532A" w:rsidRDefault="00EE6576" w:rsidP="0058532A">
      <w:pPr>
        <w:adjustRightInd w:val="0"/>
        <w:jc w:val="center"/>
        <w:rPr>
          <w:b/>
          <w:bCs/>
          <w:sz w:val="40"/>
          <w:szCs w:val="40"/>
        </w:rPr>
      </w:pPr>
      <w:r w:rsidRPr="00816C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331.5pt;visibility:visible">
            <v:imagedata r:id="rId6" o:title=""/>
          </v:shape>
        </w:pict>
      </w: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58532A" w:rsidRDefault="0058532A" w:rsidP="0058532A">
      <w:pPr>
        <w:pStyle w:val="NoSpacing"/>
        <w:rPr>
          <w:rFonts w:ascii="Arial" w:hAnsi="Arial" w:cs="Arial"/>
          <w:sz w:val="36"/>
          <w:szCs w:val="36"/>
        </w:rPr>
      </w:pPr>
    </w:p>
    <w:p w:rsidR="0058532A" w:rsidRPr="00D07E27" w:rsidRDefault="0058532A" w:rsidP="0058532A">
      <w:pPr>
        <w:pStyle w:val="NoSpacing"/>
        <w:rPr>
          <w:rFonts w:ascii="Arial" w:hAnsi="Arial" w:cs="Arial"/>
          <w:b/>
          <w:sz w:val="40"/>
          <w:szCs w:val="40"/>
        </w:rPr>
      </w:pPr>
      <w:r w:rsidRPr="00D07E27">
        <w:rPr>
          <w:rFonts w:ascii="Arial" w:hAnsi="Arial" w:cs="Arial"/>
          <w:b/>
          <w:sz w:val="40"/>
          <w:szCs w:val="40"/>
        </w:rPr>
        <w:t>894 Delivery/Return Base Record</w:t>
      </w:r>
    </w:p>
    <w:p w:rsidR="0058532A" w:rsidRPr="00D07E27" w:rsidRDefault="0058532A" w:rsidP="0058532A">
      <w:pPr>
        <w:pStyle w:val="NoSpacing"/>
        <w:rPr>
          <w:rFonts w:ascii="Arial" w:hAnsi="Arial" w:cs="Arial"/>
          <w:b/>
          <w:sz w:val="40"/>
          <w:szCs w:val="40"/>
        </w:rPr>
      </w:pPr>
      <w:r w:rsidRPr="00D07E27">
        <w:rPr>
          <w:rFonts w:ascii="Arial" w:hAnsi="Arial" w:cs="Arial"/>
          <w:b/>
          <w:sz w:val="40"/>
          <w:szCs w:val="40"/>
        </w:rPr>
        <w:t>Version 4010UCS (additional versions also available)</w:t>
      </w: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r w:rsidRPr="00714364">
        <w:rPr>
          <w:rFonts w:ascii="Arial" w:hAnsi="Arial" w:cs="Arial"/>
          <w:sz w:val="36"/>
          <w:szCs w:val="36"/>
        </w:rPr>
        <w:t>Coca-Cola Refreshments – Customer Business Solutions</w:t>
      </w:r>
      <w:r>
        <w:rPr>
          <w:rFonts w:ascii="Times New Roman" w:hAnsi="Times New Roman"/>
          <w:b/>
          <w:bCs/>
          <w:sz w:val="40"/>
          <w:szCs w:val="40"/>
        </w:rPr>
        <w:t xml:space="preserve"> </w:t>
      </w:r>
    </w:p>
    <w:p w:rsidR="0058532A" w:rsidRDefault="0058532A" w:rsidP="0058532A">
      <w:pPr>
        <w:widowControl w:val="0"/>
        <w:autoSpaceDE w:val="0"/>
        <w:autoSpaceDN w:val="0"/>
        <w:adjustRightInd w:val="0"/>
        <w:spacing w:after="0" w:line="240" w:lineRule="auto"/>
        <w:rPr>
          <w:rFonts w:ascii="Times New Roman" w:hAnsi="Times New Roman"/>
          <w:b/>
          <w:bCs/>
          <w:sz w:val="40"/>
          <w:szCs w:val="40"/>
        </w:rPr>
      </w:pPr>
    </w:p>
    <w:p w:rsidR="00C26B08" w:rsidRDefault="00C26B08" w:rsidP="0058532A">
      <w:pPr>
        <w:widowControl w:val="0"/>
        <w:autoSpaceDE w:val="0"/>
        <w:autoSpaceDN w:val="0"/>
        <w:adjustRightInd w:val="0"/>
        <w:spacing w:after="0" w:line="240" w:lineRule="auto"/>
        <w:rPr>
          <w:rFonts w:ascii="Times New Roman" w:hAnsi="Times New Roman"/>
          <w:b/>
          <w:bCs/>
          <w:sz w:val="40"/>
          <w:szCs w:val="40"/>
        </w:rPr>
      </w:pPr>
      <w:r>
        <w:rPr>
          <w:rFonts w:ascii="Times New Roman" w:hAnsi="Times New Roman"/>
          <w:b/>
          <w:bCs/>
          <w:sz w:val="40"/>
          <w:szCs w:val="40"/>
        </w:rPr>
        <w:lastRenderedPageBreak/>
        <w:t>894 Delivery/Return Base Record</w:t>
      </w:r>
    </w:p>
    <w:p w:rsidR="00C26B08" w:rsidRDefault="00C26B08">
      <w:pPr>
        <w:widowControl w:val="0"/>
        <w:autoSpaceDE w:val="0"/>
        <w:autoSpaceDN w:val="0"/>
        <w:adjustRightInd w:val="0"/>
        <w:spacing w:after="0" w:line="240" w:lineRule="auto"/>
        <w:rPr>
          <w:rFonts w:ascii="Times New Roman" w:hAnsi="Times New Roman"/>
          <w:b/>
          <w:bCs/>
          <w:sz w:val="40"/>
          <w:szCs w:val="40"/>
        </w:rPr>
      </w:pPr>
    </w:p>
    <w:p w:rsidR="00C26B08" w:rsidRDefault="00C26B08">
      <w:pPr>
        <w:autoSpaceDE w:val="0"/>
        <w:autoSpaceDN w:val="0"/>
        <w:adjustRightInd w:val="0"/>
        <w:spacing w:after="0" w:line="240" w:lineRule="auto"/>
        <w:jc w:val="right"/>
        <w:rPr>
          <w:rFonts w:ascii="Times New Roman" w:hAnsi="Times New Roman"/>
          <w:b/>
          <w:bCs/>
          <w:sz w:val="40"/>
          <w:szCs w:val="40"/>
        </w:rPr>
      </w:pPr>
      <w:r>
        <w:rPr>
          <w:rFonts w:ascii="Times New Roman" w:hAnsi="Times New Roman"/>
          <w:b/>
          <w:bCs/>
          <w:sz w:val="20"/>
          <w:szCs w:val="20"/>
        </w:rPr>
        <w:t>Functional Group ID=</w:t>
      </w:r>
      <w:r>
        <w:rPr>
          <w:rFonts w:ascii="Times New Roman" w:hAnsi="Times New Roman"/>
          <w:b/>
          <w:bCs/>
          <w:sz w:val="40"/>
          <w:szCs w:val="40"/>
        </w:rPr>
        <w:t>DX</w:t>
      </w:r>
    </w:p>
    <w:p w:rsidR="00C26B08" w:rsidRDefault="00C26B08">
      <w:pPr>
        <w:autoSpaceDE w:val="0"/>
        <w:autoSpaceDN w:val="0"/>
        <w:adjustRightInd w:val="0"/>
        <w:spacing w:after="0" w:line="240" w:lineRule="auto"/>
        <w:rPr>
          <w:rFonts w:ascii="Times New Roman" w:hAnsi="Times New Roman"/>
          <w:b/>
          <w:bCs/>
          <w:sz w:val="24"/>
          <w:szCs w:val="24"/>
        </w:rPr>
      </w:pPr>
    </w:p>
    <w:p w:rsidR="00C26B08" w:rsidRDefault="00C26B08">
      <w:pPr>
        <w:autoSpaceDE w:val="0"/>
        <w:autoSpaceDN w:val="0"/>
        <w:adjustRightInd w:val="0"/>
        <w:spacing w:after="0" w:line="240" w:lineRule="auto"/>
        <w:rPr>
          <w:rFonts w:ascii="Times New Roman" w:hAnsi="Times New Roman"/>
          <w:sz w:val="20"/>
          <w:szCs w:val="20"/>
        </w:rPr>
      </w:pPr>
      <w:r>
        <w:rPr>
          <w:rFonts w:ascii="Times New Roman" w:hAnsi="Times New Roman"/>
          <w:b/>
          <w:bCs/>
          <w:sz w:val="24"/>
          <w:szCs w:val="24"/>
        </w:rPr>
        <w:t>Introduction:</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This Draft Standard for Trial Use contains the format and establishes the data contents of the Delivery/Return Base Record Transaction Set (894) for use within the context of an Electronic Data Interchange (EDI) environment. The transaction set can be used to enable a Direct Store Delivery (DSD) vendor to communicate the details of a DSD delivery and is to be used during the check-in procedure.</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Notes:</w:t>
      </w:r>
    </w:p>
    <w:p w:rsidR="00C26B08" w:rsidRDefault="00C26B08">
      <w:pPr>
        <w:autoSpaceDE w:val="0"/>
        <w:autoSpaceDN w:val="0"/>
        <w:adjustRightInd w:val="0"/>
        <w:spacing w:after="0" w:line="240" w:lineRule="auto"/>
        <w:rPr>
          <w:rFonts w:ascii="Times New Roman" w:hAnsi="Times New Roman"/>
          <w:b/>
          <w:bCs/>
          <w:sz w:val="24"/>
          <w:szCs w:val="24"/>
        </w:rPr>
      </w:pPr>
    </w:p>
    <w:tbl>
      <w:tblPr>
        <w:tblW w:w="0" w:type="auto"/>
        <w:tblLayout w:type="fixed"/>
        <w:tblCellMar>
          <w:left w:w="0" w:type="dxa"/>
          <w:right w:w="0" w:type="dxa"/>
        </w:tblCellMar>
        <w:tblLook w:val="0000"/>
      </w:tblPr>
      <w:tblGrid>
        <w:gridCol w:w="9503"/>
      </w:tblGrid>
      <w:tr w:rsidR="00C26B08" w:rsidRPr="00907F65">
        <w:tblPrEx>
          <w:tblCellMar>
            <w:top w:w="0" w:type="dxa"/>
            <w:left w:w="0" w:type="dxa"/>
            <w:bottom w:w="0" w:type="dxa"/>
            <w:right w:w="0" w:type="dxa"/>
          </w:tblCellMar>
        </w:tblPrEx>
        <w:tc>
          <w:tcPr>
            <w:tcW w:w="9503" w:type="dxa"/>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 to the UCS for Direct Store Delivery Implementation and User Guide for specific implementation guidelines for this transaction set.</w:t>
            </w:r>
          </w:p>
        </w:tc>
      </w:tr>
    </w:tbl>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Heading:</w:t>
      </w:r>
    </w:p>
    <w:p w:rsidR="00C26B08" w:rsidRDefault="00C26B08">
      <w:pPr>
        <w:autoSpaceDE w:val="0"/>
        <w:autoSpaceDN w:val="0"/>
        <w:adjustRightInd w:val="0"/>
        <w:spacing w:after="0" w:line="240" w:lineRule="auto"/>
        <w:rPr>
          <w:rFonts w:ascii="Times New Roman" w:hAnsi="Times New Roman"/>
          <w:b/>
          <w:bCs/>
          <w:sz w:val="16"/>
          <w:szCs w:val="16"/>
        </w:rPr>
      </w:pP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ab/>
        <w:t>Pos.</w:t>
      </w:r>
      <w:r>
        <w:rPr>
          <w:rFonts w:ascii="Times New Roman" w:hAnsi="Times New Roman"/>
          <w:b/>
          <w:bCs/>
          <w:sz w:val="16"/>
          <w:szCs w:val="16"/>
        </w:rPr>
        <w:tab/>
        <w:t>Seg.</w:t>
      </w:r>
      <w:r>
        <w:rPr>
          <w:rFonts w:ascii="Times New Roman" w:hAnsi="Times New Roman"/>
          <w:b/>
          <w:bCs/>
          <w:sz w:val="16"/>
          <w:szCs w:val="16"/>
        </w:rPr>
        <w:tab/>
      </w:r>
      <w:r>
        <w:rPr>
          <w:rFonts w:ascii="Times New Roman" w:hAnsi="Times New Roman"/>
          <w:b/>
          <w:bCs/>
          <w:sz w:val="16"/>
          <w:szCs w:val="16"/>
        </w:rPr>
        <w:tab/>
        <w:t>Req.</w:t>
      </w:r>
      <w:r>
        <w:rPr>
          <w:rFonts w:ascii="Times New Roman" w:hAnsi="Times New Roman"/>
          <w:b/>
          <w:bCs/>
          <w:sz w:val="16"/>
          <w:szCs w:val="16"/>
        </w:rPr>
        <w:tab/>
      </w:r>
      <w:r>
        <w:rPr>
          <w:rFonts w:ascii="Times New Roman" w:hAnsi="Times New Roman"/>
          <w:b/>
          <w:bCs/>
          <w:sz w:val="16"/>
          <w:szCs w:val="16"/>
        </w:rPr>
        <w:tab/>
        <w:t>Loop</w:t>
      </w:r>
      <w:r>
        <w:rPr>
          <w:rFonts w:ascii="Times New Roman" w:hAnsi="Times New Roman"/>
          <w:b/>
          <w:bCs/>
          <w:sz w:val="16"/>
          <w:szCs w:val="16"/>
        </w:rPr>
        <w:tab/>
        <w:t>Notes and</w:t>
      </w: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u w:val="words"/>
        </w:rPr>
        <w:tab/>
        <w:t>No.</w:t>
      </w:r>
      <w:r>
        <w:rPr>
          <w:rFonts w:ascii="Times New Roman" w:hAnsi="Times New Roman"/>
          <w:b/>
          <w:bCs/>
          <w:sz w:val="16"/>
          <w:szCs w:val="16"/>
          <w:u w:val="words"/>
        </w:rPr>
        <w:tab/>
        <w:t>ID</w:t>
      </w:r>
      <w:r>
        <w:rPr>
          <w:rFonts w:ascii="Times New Roman" w:hAnsi="Times New Roman"/>
          <w:b/>
          <w:bCs/>
          <w:sz w:val="16"/>
          <w:szCs w:val="16"/>
          <w:u w:val="words"/>
        </w:rPr>
        <w:tab/>
        <w:t>Name</w:t>
      </w:r>
      <w:r>
        <w:rPr>
          <w:rFonts w:ascii="Times New Roman" w:hAnsi="Times New Roman"/>
          <w:b/>
          <w:bCs/>
          <w:sz w:val="16"/>
          <w:szCs w:val="16"/>
          <w:u w:val="words"/>
        </w:rPr>
        <w:tab/>
        <w:t>Des.</w:t>
      </w:r>
      <w:r>
        <w:rPr>
          <w:rFonts w:ascii="Times New Roman" w:hAnsi="Times New Roman"/>
          <w:b/>
          <w:bCs/>
          <w:sz w:val="16"/>
          <w:szCs w:val="16"/>
          <w:u w:val="words"/>
        </w:rPr>
        <w:tab/>
        <w:t>Max.Use</w:t>
      </w:r>
      <w:r>
        <w:rPr>
          <w:rFonts w:ascii="Times New Roman" w:hAnsi="Times New Roman"/>
          <w:b/>
          <w:bCs/>
          <w:sz w:val="16"/>
          <w:szCs w:val="16"/>
          <w:u w:val="words"/>
        </w:rPr>
        <w:tab/>
        <w:t>Repeat</w:t>
      </w:r>
      <w:r>
        <w:rPr>
          <w:rFonts w:ascii="Times New Roman" w:hAnsi="Times New Roman"/>
          <w:b/>
          <w:bCs/>
          <w:sz w:val="16"/>
          <w:szCs w:val="16"/>
          <w:u w:val="words"/>
        </w:rPr>
        <w:tab/>
        <w:t>Comments</w:t>
      </w:r>
      <w:r>
        <w:rPr>
          <w:rFonts w:ascii="Times New Roman" w:hAnsi="Times New Roman"/>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864"/>
        <w:gridCol w:w="1007"/>
        <w:gridCol w:w="1007"/>
        <w:gridCol w:w="864"/>
        <w:gridCol w:w="108"/>
        <w:gridCol w:w="108"/>
        <w:gridCol w:w="108"/>
        <w:gridCol w:w="108"/>
        <w:gridCol w:w="108"/>
        <w:gridCol w:w="108"/>
      </w:tblGrid>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010</w:t>
            </w:r>
          </w:p>
        </w:tc>
        <w:tc>
          <w:tcPr>
            <w:tcW w:w="72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ST</w:t>
            </w:r>
          </w:p>
        </w:tc>
        <w:tc>
          <w:tcPr>
            <w:tcW w:w="324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Transaction Set Header</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020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G82</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Delivery/Return Base Record Identifier</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025</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N9</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Reference Identification</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&gt;1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bl>
    <w:p w:rsidR="00C26B08" w:rsidRDefault="00C26B08">
      <w:pPr>
        <w:autoSpaceDE w:val="0"/>
        <w:autoSpaceDN w:val="0"/>
        <w:adjustRightInd w:val="0"/>
        <w:spacing w:after="0" w:line="240" w:lineRule="auto"/>
        <w:rPr>
          <w:rFonts w:ascii="Times New Roman" w:hAnsi="Times New Roman"/>
          <w:sz w:val="16"/>
          <w:szCs w:val="16"/>
        </w:rPr>
      </w:pPr>
    </w:p>
    <w:p w:rsidR="00C26B08" w:rsidRDefault="00C26B0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Detail:</w:t>
      </w:r>
    </w:p>
    <w:p w:rsidR="00C26B08" w:rsidRDefault="00C26B08">
      <w:pPr>
        <w:autoSpaceDE w:val="0"/>
        <w:autoSpaceDN w:val="0"/>
        <w:adjustRightInd w:val="0"/>
        <w:spacing w:after="0" w:line="240" w:lineRule="auto"/>
        <w:rPr>
          <w:rFonts w:ascii="Times New Roman" w:hAnsi="Times New Roman"/>
          <w:b/>
          <w:bCs/>
          <w:sz w:val="16"/>
          <w:szCs w:val="16"/>
        </w:rPr>
      </w:pP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ab/>
        <w:t>Pos.</w:t>
      </w:r>
      <w:r>
        <w:rPr>
          <w:rFonts w:ascii="Times New Roman" w:hAnsi="Times New Roman"/>
          <w:b/>
          <w:bCs/>
          <w:sz w:val="16"/>
          <w:szCs w:val="16"/>
        </w:rPr>
        <w:tab/>
        <w:t>Seg.</w:t>
      </w:r>
      <w:r>
        <w:rPr>
          <w:rFonts w:ascii="Times New Roman" w:hAnsi="Times New Roman"/>
          <w:b/>
          <w:bCs/>
          <w:sz w:val="16"/>
          <w:szCs w:val="16"/>
        </w:rPr>
        <w:tab/>
      </w:r>
      <w:r>
        <w:rPr>
          <w:rFonts w:ascii="Times New Roman" w:hAnsi="Times New Roman"/>
          <w:b/>
          <w:bCs/>
          <w:sz w:val="16"/>
          <w:szCs w:val="16"/>
        </w:rPr>
        <w:tab/>
        <w:t>Req.</w:t>
      </w:r>
      <w:r>
        <w:rPr>
          <w:rFonts w:ascii="Times New Roman" w:hAnsi="Times New Roman"/>
          <w:b/>
          <w:bCs/>
          <w:sz w:val="16"/>
          <w:szCs w:val="16"/>
        </w:rPr>
        <w:tab/>
      </w:r>
      <w:r>
        <w:rPr>
          <w:rFonts w:ascii="Times New Roman" w:hAnsi="Times New Roman"/>
          <w:b/>
          <w:bCs/>
          <w:sz w:val="16"/>
          <w:szCs w:val="16"/>
        </w:rPr>
        <w:tab/>
        <w:t>Loop</w:t>
      </w:r>
      <w:r>
        <w:rPr>
          <w:rFonts w:ascii="Times New Roman" w:hAnsi="Times New Roman"/>
          <w:b/>
          <w:bCs/>
          <w:sz w:val="16"/>
          <w:szCs w:val="16"/>
        </w:rPr>
        <w:tab/>
        <w:t>Notes and</w:t>
      </w: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u w:val="words"/>
        </w:rPr>
        <w:tab/>
        <w:t>No.</w:t>
      </w:r>
      <w:r>
        <w:rPr>
          <w:rFonts w:ascii="Times New Roman" w:hAnsi="Times New Roman"/>
          <w:b/>
          <w:bCs/>
          <w:sz w:val="16"/>
          <w:szCs w:val="16"/>
          <w:u w:val="words"/>
        </w:rPr>
        <w:tab/>
        <w:t>ID</w:t>
      </w:r>
      <w:r>
        <w:rPr>
          <w:rFonts w:ascii="Times New Roman" w:hAnsi="Times New Roman"/>
          <w:b/>
          <w:bCs/>
          <w:sz w:val="16"/>
          <w:szCs w:val="16"/>
          <w:u w:val="words"/>
        </w:rPr>
        <w:tab/>
        <w:t>Name</w:t>
      </w:r>
      <w:r>
        <w:rPr>
          <w:rFonts w:ascii="Times New Roman" w:hAnsi="Times New Roman"/>
          <w:b/>
          <w:bCs/>
          <w:sz w:val="16"/>
          <w:szCs w:val="16"/>
          <w:u w:val="words"/>
        </w:rPr>
        <w:tab/>
        <w:t>Des.</w:t>
      </w:r>
      <w:r>
        <w:rPr>
          <w:rFonts w:ascii="Times New Roman" w:hAnsi="Times New Roman"/>
          <w:b/>
          <w:bCs/>
          <w:sz w:val="16"/>
          <w:szCs w:val="16"/>
          <w:u w:val="words"/>
        </w:rPr>
        <w:tab/>
        <w:t>Max.Use</w:t>
      </w:r>
      <w:r>
        <w:rPr>
          <w:rFonts w:ascii="Times New Roman" w:hAnsi="Times New Roman"/>
          <w:b/>
          <w:bCs/>
          <w:sz w:val="16"/>
          <w:szCs w:val="16"/>
          <w:u w:val="words"/>
        </w:rPr>
        <w:tab/>
        <w:t>Repeat</w:t>
      </w:r>
      <w:r>
        <w:rPr>
          <w:rFonts w:ascii="Times New Roman" w:hAnsi="Times New Roman"/>
          <w:b/>
          <w:bCs/>
          <w:sz w:val="16"/>
          <w:szCs w:val="16"/>
          <w:u w:val="words"/>
        </w:rPr>
        <w:tab/>
        <w:t>Comments</w:t>
      </w:r>
      <w:r>
        <w:rPr>
          <w:rFonts w:ascii="Times New Roman" w:hAnsi="Times New Roman"/>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864"/>
        <w:gridCol w:w="1007"/>
        <w:gridCol w:w="1007"/>
        <w:gridCol w:w="864"/>
        <w:gridCol w:w="108"/>
        <w:gridCol w:w="108"/>
        <w:gridCol w:w="108"/>
        <w:gridCol w:w="108"/>
        <w:gridCol w:w="108"/>
        <w:gridCol w:w="108"/>
      </w:tblGrid>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010</w:t>
            </w:r>
          </w:p>
        </w:tc>
        <w:tc>
          <w:tcPr>
            <w:tcW w:w="72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LS</w:t>
            </w:r>
          </w:p>
        </w:tc>
        <w:tc>
          <w:tcPr>
            <w:tcW w:w="324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Loop Header</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3240"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LOOP ID - 0100</w:t>
            </w:r>
          </w:p>
        </w:tc>
        <w:tc>
          <w:tcPr>
            <w:tcW w:w="864"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07"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07"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9999</w:t>
            </w:r>
          </w:p>
        </w:tc>
        <w:tc>
          <w:tcPr>
            <w:tcW w:w="864"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single" w:sz="6" w:space="0" w:color="auto"/>
              <w:left w:val="nil"/>
              <w:bottom w:val="nil"/>
              <w:right w:val="single" w:sz="6" w:space="0" w:color="auto"/>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020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G83</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Line Item Detail/Direct Store Delivery</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single" w:sz="6" w:space="0" w:color="auto"/>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Not Used</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030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G22</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Pricing Information</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single" w:sz="6" w:space="0" w:color="auto"/>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040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G72</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Allowance or Charge</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10</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single" w:sz="6" w:space="0" w:color="auto"/>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Not Used</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050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G23</w:t>
            </w:r>
          </w:p>
        </w:tc>
        <w:tc>
          <w:tcPr>
            <w:tcW w:w="3240"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Terms of Sale</w:t>
            </w:r>
          </w:p>
        </w:tc>
        <w:tc>
          <w:tcPr>
            <w:tcW w:w="864"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20</w:t>
            </w:r>
          </w:p>
        </w:tc>
        <w:tc>
          <w:tcPr>
            <w:tcW w:w="1007"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single" w:sz="6" w:space="0" w:color="auto"/>
              <w:right w:val="single" w:sz="6" w:space="0" w:color="auto"/>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060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LE</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Loop Trailer</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bl>
    <w:p w:rsidR="00C26B08" w:rsidRDefault="00C26B08">
      <w:pPr>
        <w:autoSpaceDE w:val="0"/>
        <w:autoSpaceDN w:val="0"/>
        <w:adjustRightInd w:val="0"/>
        <w:spacing w:after="0" w:line="240" w:lineRule="auto"/>
        <w:rPr>
          <w:rFonts w:ascii="Times New Roman" w:hAnsi="Times New Roman"/>
          <w:sz w:val="16"/>
          <w:szCs w:val="16"/>
        </w:rPr>
      </w:pPr>
    </w:p>
    <w:p w:rsidR="00C26B08" w:rsidRDefault="00C26B0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Summary:</w:t>
      </w:r>
    </w:p>
    <w:p w:rsidR="00C26B08" w:rsidRDefault="00C26B08">
      <w:pPr>
        <w:autoSpaceDE w:val="0"/>
        <w:autoSpaceDN w:val="0"/>
        <w:adjustRightInd w:val="0"/>
        <w:spacing w:after="0" w:line="240" w:lineRule="auto"/>
        <w:rPr>
          <w:rFonts w:ascii="Times New Roman" w:hAnsi="Times New Roman"/>
          <w:b/>
          <w:bCs/>
          <w:sz w:val="16"/>
          <w:szCs w:val="16"/>
        </w:rPr>
      </w:pP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ab/>
        <w:t>Pos.</w:t>
      </w:r>
      <w:r>
        <w:rPr>
          <w:rFonts w:ascii="Times New Roman" w:hAnsi="Times New Roman"/>
          <w:b/>
          <w:bCs/>
          <w:sz w:val="16"/>
          <w:szCs w:val="16"/>
        </w:rPr>
        <w:tab/>
        <w:t>Seg.</w:t>
      </w:r>
      <w:r>
        <w:rPr>
          <w:rFonts w:ascii="Times New Roman" w:hAnsi="Times New Roman"/>
          <w:b/>
          <w:bCs/>
          <w:sz w:val="16"/>
          <w:szCs w:val="16"/>
        </w:rPr>
        <w:tab/>
      </w:r>
      <w:r>
        <w:rPr>
          <w:rFonts w:ascii="Times New Roman" w:hAnsi="Times New Roman"/>
          <w:b/>
          <w:bCs/>
          <w:sz w:val="16"/>
          <w:szCs w:val="16"/>
        </w:rPr>
        <w:tab/>
        <w:t>Req.</w:t>
      </w:r>
      <w:r>
        <w:rPr>
          <w:rFonts w:ascii="Times New Roman" w:hAnsi="Times New Roman"/>
          <w:b/>
          <w:bCs/>
          <w:sz w:val="16"/>
          <w:szCs w:val="16"/>
        </w:rPr>
        <w:tab/>
      </w:r>
      <w:r>
        <w:rPr>
          <w:rFonts w:ascii="Times New Roman" w:hAnsi="Times New Roman"/>
          <w:b/>
          <w:bCs/>
          <w:sz w:val="16"/>
          <w:szCs w:val="16"/>
        </w:rPr>
        <w:tab/>
        <w:t>Loop</w:t>
      </w:r>
      <w:r>
        <w:rPr>
          <w:rFonts w:ascii="Times New Roman" w:hAnsi="Times New Roman"/>
          <w:b/>
          <w:bCs/>
          <w:sz w:val="16"/>
          <w:szCs w:val="16"/>
        </w:rPr>
        <w:tab/>
        <w:t>Notes and</w:t>
      </w:r>
    </w:p>
    <w:p w:rsidR="00C26B08"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u w:val="words"/>
        </w:rPr>
        <w:tab/>
        <w:t>No.</w:t>
      </w:r>
      <w:r>
        <w:rPr>
          <w:rFonts w:ascii="Times New Roman" w:hAnsi="Times New Roman"/>
          <w:b/>
          <w:bCs/>
          <w:sz w:val="16"/>
          <w:szCs w:val="16"/>
          <w:u w:val="words"/>
        </w:rPr>
        <w:tab/>
        <w:t>ID</w:t>
      </w:r>
      <w:r>
        <w:rPr>
          <w:rFonts w:ascii="Times New Roman" w:hAnsi="Times New Roman"/>
          <w:b/>
          <w:bCs/>
          <w:sz w:val="16"/>
          <w:szCs w:val="16"/>
          <w:u w:val="words"/>
        </w:rPr>
        <w:tab/>
        <w:t>Name</w:t>
      </w:r>
      <w:r>
        <w:rPr>
          <w:rFonts w:ascii="Times New Roman" w:hAnsi="Times New Roman"/>
          <w:b/>
          <w:bCs/>
          <w:sz w:val="16"/>
          <w:szCs w:val="16"/>
          <w:u w:val="words"/>
        </w:rPr>
        <w:tab/>
        <w:t>Des.</w:t>
      </w:r>
      <w:r>
        <w:rPr>
          <w:rFonts w:ascii="Times New Roman" w:hAnsi="Times New Roman"/>
          <w:b/>
          <w:bCs/>
          <w:sz w:val="16"/>
          <w:szCs w:val="16"/>
          <w:u w:val="words"/>
        </w:rPr>
        <w:tab/>
        <w:t>Max.Use</w:t>
      </w:r>
      <w:r>
        <w:rPr>
          <w:rFonts w:ascii="Times New Roman" w:hAnsi="Times New Roman"/>
          <w:b/>
          <w:bCs/>
          <w:sz w:val="16"/>
          <w:szCs w:val="16"/>
          <w:u w:val="words"/>
        </w:rPr>
        <w:tab/>
        <w:t>Repeat</w:t>
      </w:r>
      <w:r>
        <w:rPr>
          <w:rFonts w:ascii="Times New Roman" w:hAnsi="Times New Roman"/>
          <w:b/>
          <w:bCs/>
          <w:sz w:val="16"/>
          <w:szCs w:val="16"/>
          <w:u w:val="words"/>
        </w:rPr>
        <w:tab/>
        <w:t>Comments</w:t>
      </w:r>
      <w:r>
        <w:rPr>
          <w:rFonts w:ascii="Times New Roman" w:hAnsi="Times New Roman"/>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864"/>
        <w:gridCol w:w="1007"/>
        <w:gridCol w:w="1007"/>
        <w:gridCol w:w="864"/>
        <w:gridCol w:w="108"/>
        <w:gridCol w:w="108"/>
        <w:gridCol w:w="108"/>
        <w:gridCol w:w="108"/>
        <w:gridCol w:w="108"/>
        <w:gridCol w:w="108"/>
      </w:tblGrid>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Not Used</w:t>
            </w:r>
          </w:p>
        </w:tc>
        <w:tc>
          <w:tcPr>
            <w:tcW w:w="576"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010</w:t>
            </w:r>
          </w:p>
        </w:tc>
        <w:tc>
          <w:tcPr>
            <w:tcW w:w="72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G72</w:t>
            </w:r>
          </w:p>
        </w:tc>
        <w:tc>
          <w:tcPr>
            <w:tcW w:w="3240" w:type="dxa"/>
            <w:tcBorders>
              <w:top w:val="nil"/>
              <w:left w:val="nil"/>
              <w:bottom w:val="nil"/>
              <w:right w:val="nil"/>
            </w:tcBorders>
          </w:tcPr>
          <w:p w:rsidR="00C26B08" w:rsidRPr="00907F65" w:rsidRDefault="00C26B08">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Allowance or Charge</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20</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Not Used</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020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G23</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Terms of Sale</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O</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20</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030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G84</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Delivery/Return Record of Totals</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040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G86</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Signature</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050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G85</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Record Integrity Check</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r w:rsidR="00C26B08" w:rsidRPr="00907F65">
        <w:tblPrEx>
          <w:tblCellMar>
            <w:top w:w="0" w:type="dxa"/>
            <w:left w:w="0" w:type="dxa"/>
            <w:bottom w:w="0" w:type="dxa"/>
            <w:right w:w="0" w:type="dxa"/>
          </w:tblCellMar>
        </w:tblPrEx>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576"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060</w:t>
            </w:r>
          </w:p>
        </w:tc>
        <w:tc>
          <w:tcPr>
            <w:tcW w:w="72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SE</w:t>
            </w:r>
          </w:p>
        </w:tc>
        <w:tc>
          <w:tcPr>
            <w:tcW w:w="3240"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16"/>
                <w:szCs w:val="16"/>
              </w:rPr>
              <w:t>Transaction Set Trailer</w:t>
            </w: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sz w:val="16"/>
                <w:szCs w:val="16"/>
              </w:rPr>
              <w:t>M</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r w:rsidRPr="00907F65">
              <w:rPr>
                <w:rFonts w:ascii="Times New Roman" w:eastAsiaTheme="minorEastAsia" w:hAnsi="Times New Roman"/>
                <w:sz w:val="16"/>
                <w:szCs w:val="16"/>
              </w:rPr>
              <w:t>1</w:t>
            </w:r>
          </w:p>
        </w:tc>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right"/>
              <w:rPr>
                <w:rFonts w:ascii="Times New Roman" w:eastAsiaTheme="minorEastAsia" w:hAnsi="Times New Roman"/>
                <w:sz w:val="24"/>
                <w:szCs w:val="24"/>
              </w:rPr>
            </w:pPr>
          </w:p>
        </w:tc>
        <w:tc>
          <w:tcPr>
            <w:tcW w:w="86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08"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16"/>
          <w:szCs w:val="16"/>
        </w:rPr>
        <w:br w:type="page"/>
      </w:r>
      <w:bookmarkStart w:id="0" w:name="book1"/>
      <w:bookmarkEnd w:id="0"/>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ST </w:t>
      </w:r>
      <w:r>
        <w:rPr>
          <w:rFonts w:ascii="Times New Roman" w:hAnsi="Times New Roman"/>
          <w:b/>
          <w:bCs/>
          <w:sz w:val="20"/>
          <w:szCs w:val="20"/>
        </w:rPr>
        <w:t>Transaction Set Header</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010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Heading</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indicate the start of a transaction set and to assign a control number</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The transaction set identifier (ST01) is used by the translation routines of the interchange partners to select the appropriate transaction set definition (e.g., 810 selects the Invoice Transaction Set).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4"/>
        <w:gridCol w:w="3269"/>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ST01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143</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Transaction Set Identifier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3/3</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uniquely identifying a Transaction Set</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894</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Delivery/Return Base Record</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ST02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329</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Transaction Set Control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4/9</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control number that must be unique within the transaction set functional group assigned by the originator for a transaction set</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control number is comprised of the functional group control number (Data Element 28 in the GS segment) followed by a four-digit sequence number. The sequence number is sequentially assigned by the sender, starting with one within each functional group. For each functional group, the first sequence number will be 0001 and will incremented by one for each additional transaction set within the group.</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1" w:name="book2"/>
      <w:bookmarkEnd w:id="1"/>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G82 </w:t>
      </w:r>
      <w:r>
        <w:rPr>
          <w:rFonts w:ascii="Times New Roman" w:hAnsi="Times New Roman"/>
          <w:b/>
          <w:bCs/>
          <w:sz w:val="20"/>
          <w:szCs w:val="20"/>
        </w:rPr>
        <w:t>Delivery/Return Base Record Identifier</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020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Heading</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transmit identifying numbers, dates, and other basic data relating to the transaction set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When G8201 equals "D" (debit), information in this segment is for a delivery. When G8201 equals "C" (credit), information in this segment is for a return.</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2</w:t>
      </w:r>
      <w:r>
        <w:rPr>
          <w:rFonts w:ascii="Times New Roman" w:hAnsi="Times New Roman"/>
          <w:sz w:val="20"/>
          <w:szCs w:val="20"/>
        </w:rPr>
        <w:tab/>
        <w:t>G8203 is the receiver's DUNS number.</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3</w:t>
      </w:r>
      <w:r>
        <w:rPr>
          <w:rFonts w:ascii="Times New Roman" w:hAnsi="Times New Roman"/>
          <w:sz w:val="20"/>
          <w:szCs w:val="20"/>
        </w:rPr>
        <w:tab/>
        <w:t>G8205 is the supplier's DUNS number.</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4"/>
        <w:gridCol w:w="3269"/>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478</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Credit/Debit Flag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1/1</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indicating whether amount is a credit or debit</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D</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Debit</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861</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Supplier's Delivery/Return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number assigned by the supplier to the transaction</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D-U-N-S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9/9</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number assigned by Dun &amp; Bradstreet (Data Universal Numbering System)</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G8204</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862</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Receiver's Location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1/6</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Number assigned by the customer that when combined with receiver Duns number uniquely identifies the receiving location</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G8205</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D-U-N-S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9/9</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number assigned by Dun &amp; Bradstreet (Data Universal Numbering System)</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G8206</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871</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Supplier's Location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1/6</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Number assigned by supplier that provides uniqueness when combined with sender Duns number</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G8207</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872</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Physical Delivery or Return Date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DT 8/8</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Actual or intended date of physical delivery or return expressed in format CCYYMMDD</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G8208</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873</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Product Ownership Transfer Date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DT 8/8</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G8209</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324</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Purchase Order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1/22</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G8210</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323</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Purchase Order Date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DT 8/8</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G8211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146</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Shipment Method of Payment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 to 004010UCS Data Element Dictionary for acceptable code values.</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G8212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625</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COD Method of Payment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1/1</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 to 004010UCS Data Element Dictionary for acceptable code values.</w:t>
            </w:r>
          </w:p>
        </w:tc>
      </w:tr>
    </w:tbl>
    <w:p w:rsidR="00C26B08" w:rsidRDefault="00C26B08" w:rsidP="0058532A">
      <w:pPr>
        <w:tabs>
          <w:tab w:val="right" w:pos="1800"/>
          <w:tab w:val="left" w:pos="2160"/>
        </w:tabs>
        <w:autoSpaceDE w:val="0"/>
        <w:autoSpaceDN w:val="0"/>
        <w:adjustRightInd w:val="0"/>
        <w:spacing w:after="0" w:line="240" w:lineRule="auto"/>
        <w:rPr>
          <w:rFonts w:ascii="Times New Roman" w:hAnsi="Times New Roman"/>
          <w:b/>
          <w:bCs/>
          <w:sz w:val="20"/>
          <w:szCs w:val="20"/>
        </w:rPr>
      </w:pPr>
      <w:r>
        <w:rPr>
          <w:rFonts w:ascii="Times New Roman" w:hAnsi="Times New Roman"/>
          <w:sz w:val="20"/>
          <w:szCs w:val="20"/>
        </w:rPr>
        <w:br w:type="page"/>
      </w:r>
      <w:bookmarkStart w:id="2" w:name="book3"/>
      <w:bookmarkEnd w:id="2"/>
      <w:r>
        <w:rPr>
          <w:rFonts w:ascii="Times New Roman" w:hAnsi="Times New Roman"/>
          <w:b/>
          <w:bCs/>
          <w:sz w:val="20"/>
          <w:szCs w:val="20"/>
        </w:rPr>
        <w:lastRenderedPageBreak/>
        <w:t>Segment:</w:t>
      </w:r>
      <w:r>
        <w:rPr>
          <w:rFonts w:ascii="Times New Roman" w:hAnsi="Times New Roman"/>
          <w:b/>
          <w:bCs/>
          <w:sz w:val="20"/>
          <w:szCs w:val="20"/>
        </w:rPr>
        <w:tab/>
      </w:r>
      <w:r>
        <w:rPr>
          <w:rFonts w:ascii="Times New Roman" w:hAnsi="Times New Roman"/>
          <w:b/>
          <w:bCs/>
          <w:sz w:val="40"/>
          <w:szCs w:val="40"/>
        </w:rPr>
        <w:t xml:space="preserve">N9 </w:t>
      </w:r>
      <w:r>
        <w:rPr>
          <w:rFonts w:ascii="Times New Roman" w:hAnsi="Times New Roman"/>
          <w:b/>
          <w:bCs/>
          <w:sz w:val="20"/>
          <w:szCs w:val="20"/>
        </w:rPr>
        <w:t>Reference Identification</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025</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Heading</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&gt;1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transmit identifying information as specified by the Reference Identification Qualifier</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At least one of N902 or N903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2</w:t>
      </w:r>
      <w:r>
        <w:rPr>
          <w:rFonts w:ascii="Times New Roman" w:hAnsi="Times New Roman"/>
          <w:sz w:val="20"/>
          <w:szCs w:val="20"/>
        </w:rPr>
        <w:tab/>
        <w:t>If N906 is present, then N905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N906 reflects the time zone which the time reflects.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4"/>
        <w:gridCol w:w="3269"/>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128</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Reference Identification Qualifier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2/3</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qualifying the Reference Identification</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For WINS, Data Elements 145 (Shipment Identification Number), 285 (Depositor Order Number), 324 (Purchase Order Number), and 531 (Agent Shipment ID Number) are specific data elements and should be sent in the appropriate segments where they appear and not in the Reference Number Segment (N9).</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Used for cross reference to other invoices to be associated with the invoice defined in G0102</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Used for cross reference to other purchase orders to be associated with the purchase order defined in G5003</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Used to identify a manufacturing batch (includes lot and/or production code)</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Used to list the purchase orders (other than the purchase order in G0104) to be considered with the invoice being transmitted</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A number assigned by the receiving company to uniquely identify a particular invoice, typically for direct store delivery</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Used to provide a means for brokers to transmit a vendor assigned terms code on a purchase order using the N9 segment</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A number assigned by the receiving company to uniquely identify a vendor, typically for direct store delivery</w:t>
            </w:r>
          </w:p>
          <w:p w:rsidR="00C26B08" w:rsidRPr="00907F65" w:rsidRDefault="00C26B08">
            <w:pPr>
              <w:autoSpaceDE w:val="0"/>
              <w:autoSpaceDN w:val="0"/>
              <w:adjustRightInd w:val="0"/>
              <w:spacing w:after="0" w:line="240" w:lineRule="auto"/>
              <w:ind w:right="144"/>
              <w:rPr>
                <w:rFonts w:ascii="Times New Roman" w:eastAsiaTheme="minorEastAsia" w:hAnsi="Times New Roman"/>
                <w:sz w:val="20"/>
                <w:szCs w:val="20"/>
              </w:rPr>
            </w:pPr>
          </w:p>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For Warehouse Transaction Set usage only</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OA</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Outlet Number</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127</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Reference Identification</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1/30</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Reference information as defined for a particular Transaction Set or as specified by the Reference Identification Qualifier</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For WINS, reference numbers pertaining to the entire order as a whole should be put in the header level of the transaction set. Reference numbers pertaining to individual line items should appear in the detail level of the transaction set.</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369</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Free-form Description</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1/45</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N904</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373</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Date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DT 8/8</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N905</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337</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Time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TM 4/8</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lastRenderedPageBreak/>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N906</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623</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Time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 to 004010UCS Data Element Dictionary for acceptable code values.</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3" w:name="book4"/>
      <w:bookmarkEnd w:id="3"/>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LS </w:t>
      </w:r>
      <w:r>
        <w:rPr>
          <w:rFonts w:ascii="Times New Roman" w:hAnsi="Times New Roman"/>
          <w:b/>
          <w:bCs/>
          <w:sz w:val="20"/>
          <w:szCs w:val="20"/>
        </w:rPr>
        <w:t>Loop Header</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010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Detail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indicate that the next segment begins a loop</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One loop may be nested contained within another loop, provided the inner nested loop terminates before the outer loop. When specified by the standard setting body as mandatory, this segment in combination with "LE", must be used. It is not to be used if not specifically set forth for use. The loop identifier in the loop header and trailer must be identical. The value for the identifier is the loop ID of the required loop segment. The loop ID number is given on the transaction set diagram in the appropriate ASC X12 version/release.</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See Figures Appendix for an explanation of the use of the LS and LE segments.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LS01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447</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Loop Identifier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1/6</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loop ID number given on the transaction set diagram is the value for this data element in segments LS and LE</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4" w:name="book5"/>
      <w:bookmarkEnd w:id="4"/>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G83 </w:t>
      </w:r>
      <w:r>
        <w:rPr>
          <w:rFonts w:ascii="Times New Roman" w:hAnsi="Times New Roman"/>
          <w:b/>
          <w:bCs/>
          <w:sz w:val="20"/>
          <w:szCs w:val="20"/>
        </w:rPr>
        <w:t>Line Item Detail/Direct Store Delivery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020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r>
        <w:rPr>
          <w:rFonts w:ascii="Times New Roman" w:hAnsi="Times New Roman"/>
          <w:sz w:val="20"/>
          <w:szCs w:val="20"/>
        </w:rPr>
        <w:tab/>
        <w:t>0100        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Detail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specify the basic, and most frequently used line item data for the delivery record transaction</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At least one of G8304 or G8305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2</w:t>
      </w:r>
      <w:r>
        <w:rPr>
          <w:rFonts w:ascii="Times New Roman" w:hAnsi="Times New Roman"/>
          <w:sz w:val="20"/>
          <w:szCs w:val="20"/>
        </w:rPr>
        <w:tab/>
        <w:t>If either G8305 or G8306 is present, then the other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3</w:t>
      </w:r>
      <w:r>
        <w:rPr>
          <w:rFonts w:ascii="Times New Roman" w:hAnsi="Times New Roman"/>
          <w:sz w:val="20"/>
          <w:szCs w:val="20"/>
        </w:rPr>
        <w:tab/>
        <w:t>If G8307 is present, then G8309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4</w:t>
      </w:r>
      <w:r>
        <w:rPr>
          <w:rFonts w:ascii="Times New Roman" w:hAnsi="Times New Roman"/>
          <w:sz w:val="20"/>
          <w:szCs w:val="20"/>
        </w:rPr>
        <w:tab/>
        <w:t>If either G8311 or G8312 is present, then the other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G8303 qualifies G8302.</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4"/>
        <w:gridCol w:w="3269"/>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204</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Direct Store Delivery Sequence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N0 1/4</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Direct Store Delivery sequential number of the line item detail or a new line item detail</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This is the sequential number of the line item detail in the Delivery/Return Base Record Transaction Set (894) or a new line item detail to the Delivery/Return Acknowledgement and/or Adjustment Transaction Set (895).</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380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Quantity</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R3 1/15</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Numeric value of quantity</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355</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Unit or Basis for Measurement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specifying the units in which a value is being expressed, or manner in which a measurement has been taken</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unit or basis for measurement code is used to qualify the contents of various data elements. It will vary depending on the data element it qualifies and the convention within industry groups.</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CA</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Case</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G8304</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766</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U.P.C./EAN Consumer Package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12/12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(Universal Product Code - U.P.C.) identifying the retail shelf unit; consists of 2 high order digits identifying the system (U.S. Grocery = 00, 06 or 07, U.S. Drug = 03); the next ten digits are manufacturer ID: 5, Item ID: 5</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G8305</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235</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Product/Service ID Qualifier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identifying the type/source of the descriptive number used in Product/Service ID (234)</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AC</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Aggregation Code (Used to Consolidate Part Families)</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G8306</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234</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Product/Service ID</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1/48</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number for a product or service</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G8307</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438</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U.P.C. Case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12/12</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G8308</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237</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Item List Cost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R4 1/9</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Gross unit cost within the appropriate price bracket for a line item</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G8309</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356</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Pack</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N0 1/6</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number of inner containers, or number of eaches if there are no inner containers, per outer container</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G8310</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878</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Cash Register Item Description</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1/20</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cash register description of an item</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G8311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235</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Product/Service ID Qualifier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7"/>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Refer to 004010UCS Data Element Dictionary for acceptable code values.</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G8312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234</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Product/Service ID</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1/48</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G8313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810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Inner Pack</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N0 1/6</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5" w:name="book6"/>
      <w:bookmarkEnd w:id="5"/>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G72 </w:t>
      </w:r>
      <w:r>
        <w:rPr>
          <w:rFonts w:ascii="Times New Roman" w:hAnsi="Times New Roman"/>
          <w:b/>
          <w:bCs/>
          <w:sz w:val="20"/>
          <w:szCs w:val="20"/>
        </w:rPr>
        <w:t>Allowance or Charge</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040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r>
        <w:rPr>
          <w:rFonts w:ascii="Times New Roman" w:hAnsi="Times New Roman"/>
          <w:sz w:val="20"/>
          <w:szCs w:val="20"/>
        </w:rPr>
        <w:tab/>
        <w:t>0100        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Detail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specify allowances, charges, or services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At least one of G7203 G7205 G7208 or G7209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2</w:t>
      </w:r>
      <w:r>
        <w:rPr>
          <w:rFonts w:ascii="Times New Roman" w:hAnsi="Times New Roman"/>
          <w:sz w:val="20"/>
          <w:szCs w:val="20"/>
        </w:rPr>
        <w:tab/>
        <w:t>Only one of G7205 G7208 or G7209 may be present.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3</w:t>
      </w:r>
      <w:r>
        <w:rPr>
          <w:rFonts w:ascii="Times New Roman" w:hAnsi="Times New Roman"/>
          <w:sz w:val="20"/>
          <w:szCs w:val="20"/>
        </w:rPr>
        <w:tab/>
        <w:t>If either G7206 or G7207 is present, then the other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4</w:t>
      </w:r>
      <w:r>
        <w:rPr>
          <w:rFonts w:ascii="Times New Roman" w:hAnsi="Times New Roman"/>
          <w:sz w:val="20"/>
          <w:szCs w:val="20"/>
        </w:rPr>
        <w:tab/>
        <w:t>If either G7209 or G7210 is present, then the other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bCs/>
          <w:sz w:val="20"/>
          <w:szCs w:val="20"/>
        </w:rPr>
        <w:t>5</w:t>
      </w:r>
      <w:r>
        <w:rPr>
          <w:rFonts w:ascii="Times New Roman" w:hAnsi="Times New Roman"/>
          <w:sz w:val="20"/>
          <w:szCs w:val="20"/>
        </w:rPr>
        <w:tab/>
        <w:t>If G7211 is present, then G7203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G7209 is the allowance or charge percent.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The G73 segment is required when G7201 contains code "499" or "999"; however, the use of these codes is discouraged.</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5"/>
        <w:gridCol w:w="3268"/>
        <w:gridCol w:w="432"/>
        <w:gridCol w:w="20"/>
        <w:gridCol w:w="966"/>
        <w:gridCol w:w="143"/>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340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1/3</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identifying the type of allowance or charge</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97</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5"/>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Cents Off</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526</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5"/>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Beverage Tax</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331</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Method of Handling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indicating method of handling for an allowance or charge</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02</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5"/>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Off Invoice</w:t>
            </w:r>
          </w:p>
        </w:tc>
      </w:tr>
      <w:tr w:rsidR="00C26B08" w:rsidRPr="00907F6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680" w:type="dxa"/>
            <w:gridSpan w:val="4"/>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Allowance included on invoice</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341</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1/16</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G7204</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769</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Exception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1/16</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G7205</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359</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Rate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R4 1/15</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tcPr>
          <w:p w:rsidR="00B9587D" w:rsidRPr="00907F65" w:rsidRDefault="00C26B08" w:rsidP="00BA0F0C">
            <w:pPr>
              <w:autoSpaceDE w:val="0"/>
              <w:autoSpaceDN w:val="0"/>
              <w:adjustRightInd w:val="0"/>
              <w:spacing w:after="0" w:line="240" w:lineRule="auto"/>
              <w:ind w:right="144"/>
              <w:rPr>
                <w:rFonts w:ascii="Times New Roman" w:eastAsiaTheme="minorEastAsia" w:hAnsi="Times New Roman"/>
                <w:sz w:val="20"/>
                <w:szCs w:val="20"/>
              </w:rPr>
            </w:pPr>
            <w:r w:rsidRPr="00907F65">
              <w:rPr>
                <w:rFonts w:ascii="Times New Roman" w:eastAsiaTheme="minorEastAsia" w:hAnsi="Times New Roman"/>
                <w:sz w:val="20"/>
                <w:szCs w:val="20"/>
              </w:rPr>
              <w:t>Al</w:t>
            </w:r>
            <w:r w:rsidR="00BA0F0C" w:rsidRPr="00907F65">
              <w:rPr>
                <w:rFonts w:ascii="Times New Roman" w:eastAsiaTheme="minorEastAsia" w:hAnsi="Times New Roman"/>
                <w:sz w:val="20"/>
                <w:szCs w:val="20"/>
              </w:rPr>
              <w:t>lowance or Charge Rate per Unit</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G7206</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339</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Quantity</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R3 1/10</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Quantity basis when allowance or charge quantity is different from the purchase order or invoice quantity</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G7207</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355</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Unit or Basis for Measurement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ID 2/2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Code specifying the units in which a value is being expressed, or manner in which a measurement has been taken</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8"/>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unit or basis for measurement code is used to qualify the contents of various data elements. It will vary depending on the data element it qualifies and the convention within industry groups.</w:t>
            </w:r>
          </w:p>
        </w:tc>
      </w:tr>
      <w:tr w:rsidR="00C26B08" w:rsidRPr="00907F6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 xml:space="preserve"> </w:t>
            </w:r>
          </w:p>
        </w:tc>
        <w:tc>
          <w:tcPr>
            <w:tcW w:w="136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CA</w:t>
            </w:r>
          </w:p>
        </w:tc>
        <w:tc>
          <w:tcPr>
            <w:tcW w:w="144"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4823" w:type="dxa"/>
            <w:gridSpan w:val="5"/>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Case</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G7208</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360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Allowance or Charge Total Amount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N2 1/15</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G7209</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332</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Percent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R3 1/6</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G7210</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828</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Dollar Basis For Percent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R2 1/9</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G7211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770</w:t>
            </w:r>
          </w:p>
        </w:tc>
        <w:tc>
          <w:tcPr>
            <w:tcW w:w="4968"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Option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1/20</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6" w:name="book7"/>
      <w:bookmarkEnd w:id="6"/>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LE </w:t>
      </w:r>
      <w:r>
        <w:rPr>
          <w:rFonts w:ascii="Times New Roman" w:hAnsi="Times New Roman"/>
          <w:b/>
          <w:bCs/>
          <w:sz w:val="20"/>
          <w:szCs w:val="20"/>
        </w:rPr>
        <w:t>Loop Trailer</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060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Detail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Optional</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indicate that the loop immediately preceding this segment is complete</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One loop may be nested contained within another loop, provided the inner nested loop terminates before the other loop. When specified by the standards setting body as mandatory, this segment in combination with "LS", must be used. It is not to be used if not specifically set forth for use. The loop identifier in the loop header and trailer must be identical. The value for the identifier is the loop ID of the required loop beginning segment. The loop ID number is given on the transaction set diagram in the appropriate ASC X12 version/release.</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See Figures Appendix for an explanation of the use of the LE and LS segments.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LE01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447</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Loop Identifier Code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1/6</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loop ID number given on the transaction set diagram is the value for this data element in segments LS and LE</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7" w:name="book8"/>
      <w:bookmarkEnd w:id="7"/>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G84 </w:t>
      </w:r>
      <w:r>
        <w:rPr>
          <w:rFonts w:ascii="Times New Roman" w:hAnsi="Times New Roman"/>
          <w:b/>
          <w:bCs/>
          <w:sz w:val="20"/>
          <w:szCs w:val="20"/>
        </w:rPr>
        <w:t>Delivery/Return Record of Totals</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030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Summary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specify summary details of total items in terms of quantity or amount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At least one of G8401 or G8402 is required.</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G8401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380</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Quantity</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R3 1/15</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Numeric value of quantity</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G8401 is equal to the sum of all line item detail quantities for G8302.</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G8402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361</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Total Invoice Amount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N2 1/10</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Amount of invoice (including charges, less allowances) before terms discount (if discount is applicable)</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G8403</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865</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Total Deposit Dollar Amount</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N2 1/6</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8" w:name="book9"/>
      <w:bookmarkEnd w:id="8"/>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G86 </w:t>
      </w:r>
      <w:r>
        <w:rPr>
          <w:rFonts w:ascii="Times New Roman" w:hAnsi="Times New Roman"/>
          <w:b/>
          <w:bCs/>
          <w:sz w:val="20"/>
          <w:szCs w:val="20"/>
        </w:rPr>
        <w:t>Signature</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040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Summary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transmit an electronic identity</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G8602 is a keyed representation of a signature.</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G8601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867</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Signature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1/12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Electronic identity. Calculation algorithm obtained from the Uniform Code Council</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When used in Direct Store Delivery applications, this is the sender's electronic identity.</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X</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G8602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93</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Name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O</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1/60</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9" w:name="book10"/>
      <w:bookmarkEnd w:id="9"/>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G85 </w:t>
      </w:r>
      <w:r>
        <w:rPr>
          <w:rFonts w:ascii="Times New Roman" w:hAnsi="Times New Roman"/>
          <w:b/>
          <w:bCs/>
          <w:sz w:val="20"/>
          <w:szCs w:val="20"/>
        </w:rPr>
        <w:t>Record Integrity Check</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050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Summary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provide a secure method of identifying authenticity of record content</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G8501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866</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Integrity Check Value</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1/12</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Data element providing secure method for identifying authenticity of content. Value calculated by using CRC 16 algorithm</w:t>
            </w:r>
          </w:p>
        </w:tc>
      </w:tr>
    </w:tbl>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b/>
          <w:bCs/>
          <w:sz w:val="20"/>
          <w:szCs w:val="20"/>
        </w:rPr>
      </w:pPr>
      <w:r>
        <w:rPr>
          <w:rFonts w:ascii="Times New Roman" w:hAnsi="Times New Roman"/>
          <w:sz w:val="20"/>
          <w:szCs w:val="20"/>
        </w:rPr>
        <w:br w:type="page"/>
      </w:r>
      <w:bookmarkStart w:id="10" w:name="book11"/>
      <w:bookmarkEnd w:id="10"/>
      <w:r>
        <w:rPr>
          <w:rFonts w:ascii="Times New Roman" w:hAnsi="Times New Roman"/>
          <w:b/>
          <w:bCs/>
          <w:sz w:val="20"/>
          <w:szCs w:val="20"/>
        </w:rPr>
        <w:lastRenderedPageBreak/>
        <w:tab/>
        <w:t>Segment:</w:t>
      </w:r>
      <w:r>
        <w:rPr>
          <w:rFonts w:ascii="Times New Roman" w:hAnsi="Times New Roman"/>
          <w:b/>
          <w:bCs/>
          <w:sz w:val="20"/>
          <w:szCs w:val="20"/>
        </w:rPr>
        <w:tab/>
      </w:r>
      <w:r>
        <w:rPr>
          <w:rFonts w:ascii="Times New Roman" w:hAnsi="Times New Roman"/>
          <w:b/>
          <w:bCs/>
          <w:sz w:val="40"/>
          <w:szCs w:val="40"/>
        </w:rPr>
        <w:t xml:space="preserve">SE </w:t>
      </w:r>
      <w:r>
        <w:rPr>
          <w:rFonts w:ascii="Times New Roman" w:hAnsi="Times New Roman"/>
          <w:b/>
          <w:bCs/>
          <w:sz w:val="20"/>
          <w:szCs w:val="20"/>
        </w:rPr>
        <w:t>Transaction Set Trailer</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b/>
          <w:bCs/>
          <w:sz w:val="20"/>
          <w:szCs w:val="20"/>
        </w:rPr>
        <w:tab/>
        <w:t>Position:</w:t>
      </w:r>
      <w:r>
        <w:rPr>
          <w:rFonts w:ascii="Times New Roman" w:hAnsi="Times New Roman"/>
          <w:b/>
          <w:bCs/>
          <w:sz w:val="20"/>
          <w:szCs w:val="20"/>
        </w:rPr>
        <w:tab/>
      </w:r>
      <w:r>
        <w:rPr>
          <w:rFonts w:ascii="Times New Roman" w:hAnsi="Times New Roman"/>
          <w:sz w:val="20"/>
          <w:szCs w:val="20"/>
        </w:rPr>
        <w:t>060</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Loop:</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Level:</w:t>
      </w:r>
      <w:r>
        <w:rPr>
          <w:rFonts w:ascii="Times New Roman" w:hAnsi="Times New Roman"/>
          <w:sz w:val="20"/>
          <w:szCs w:val="20"/>
        </w:rPr>
        <w:tab/>
        <w:t>Summary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Usage:</w:t>
      </w:r>
      <w:r>
        <w:rPr>
          <w:rFonts w:ascii="Times New Roman" w:hAnsi="Times New Roman"/>
          <w:sz w:val="20"/>
          <w:szCs w:val="20"/>
        </w:rPr>
        <w:tab/>
        <w:t>Mandatory</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Max Use:</w:t>
      </w:r>
      <w:r>
        <w:rPr>
          <w:rFonts w:ascii="Times New Roman" w:hAnsi="Times New Roman"/>
          <w:sz w:val="20"/>
          <w:szCs w:val="20"/>
        </w:rPr>
        <w:tab/>
        <w:t>1</w:t>
      </w:r>
    </w:p>
    <w:p w:rsidR="00C26B08" w:rsidRDefault="00C26B08">
      <w:pPr>
        <w:tabs>
          <w:tab w:val="right" w:pos="1800"/>
          <w:tab w:val="left" w:pos="2160"/>
        </w:tabs>
        <w:autoSpaceDE w:val="0"/>
        <w:autoSpaceDN w:val="0"/>
        <w:adjustRightInd w:val="0"/>
        <w:spacing w:after="0" w:line="240" w:lineRule="auto"/>
        <w:ind w:left="2160" w:hanging="216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Purpose:</w:t>
      </w:r>
      <w:r>
        <w:rPr>
          <w:rFonts w:ascii="Times New Roman" w:hAnsi="Times New Roman"/>
          <w:sz w:val="20"/>
          <w:szCs w:val="20"/>
        </w:rPr>
        <w:tab/>
        <w:t>To indicate the end of the transaction set and provide the count of the transmitted segments (including the beginning (ST) and ending (SE) segments)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Syntax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Semantic Notes:</w:t>
      </w:r>
    </w:p>
    <w:p w:rsidR="00C26B08" w:rsidRDefault="00C26B08">
      <w:pPr>
        <w:tabs>
          <w:tab w:val="right" w:pos="1800"/>
          <w:tab w:val="left" w:pos="2160"/>
          <w:tab w:val="left" w:pos="2520"/>
        </w:tabs>
        <w:autoSpaceDE w:val="0"/>
        <w:autoSpaceDN w:val="0"/>
        <w:adjustRightInd w:val="0"/>
        <w:spacing w:after="0" w:line="240" w:lineRule="auto"/>
        <w:ind w:left="2520" w:hanging="2520"/>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Comments:</w:t>
      </w:r>
      <w:r>
        <w:rPr>
          <w:rFonts w:ascii="Times New Roman" w:hAnsi="Times New Roman"/>
          <w:sz w:val="20"/>
          <w:szCs w:val="20"/>
        </w:rPr>
        <w:tab/>
      </w:r>
      <w:r>
        <w:rPr>
          <w:rFonts w:ascii="Times New Roman" w:hAnsi="Times New Roman"/>
          <w:b/>
          <w:bCs/>
          <w:sz w:val="20"/>
          <w:szCs w:val="20"/>
        </w:rPr>
        <w:t>1</w:t>
      </w:r>
      <w:r>
        <w:rPr>
          <w:rFonts w:ascii="Times New Roman" w:hAnsi="Times New Roman"/>
          <w:sz w:val="20"/>
          <w:szCs w:val="20"/>
        </w:rPr>
        <w:tab/>
        <w:t>SE is the last segment of each transaction set.</w:t>
      </w: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rPr>
          <w:rFonts w:ascii="Times New Roman" w:hAnsi="Times New Roman"/>
          <w:sz w:val="20"/>
          <w:szCs w:val="20"/>
        </w:rPr>
      </w:pPr>
    </w:p>
    <w:p w:rsidR="00C26B08" w:rsidRDefault="00C26B0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Data Element Summary</w:t>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t>Ref.</w:t>
      </w:r>
      <w:r>
        <w:rPr>
          <w:rFonts w:ascii="Times New Roman" w:hAnsi="Times New Roman"/>
          <w:b/>
          <w:bCs/>
          <w:sz w:val="20"/>
          <w:szCs w:val="20"/>
        </w:rPr>
        <w:tab/>
        <w:t>Data</w:t>
      </w:r>
      <w:r>
        <w:rPr>
          <w:rFonts w:ascii="Times New Roman" w:hAnsi="Times New Roman"/>
          <w:b/>
          <w:bCs/>
          <w:sz w:val="20"/>
          <w:szCs w:val="20"/>
        </w:rPr>
        <w:tab/>
      </w:r>
    </w:p>
    <w:p w:rsidR="00C26B08"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u w:val="words"/>
        </w:rPr>
        <w:tab/>
        <w:t>Des.</w:t>
      </w:r>
      <w:r>
        <w:rPr>
          <w:rFonts w:ascii="Times New Roman" w:hAnsi="Times New Roman"/>
          <w:b/>
          <w:bCs/>
          <w:sz w:val="20"/>
          <w:szCs w:val="20"/>
          <w:u w:val="words"/>
        </w:rPr>
        <w:tab/>
        <w:t>Element</w:t>
      </w:r>
      <w:r>
        <w:rPr>
          <w:rFonts w:ascii="Times New Roman" w:hAnsi="Times New Roman"/>
          <w:b/>
          <w:bCs/>
          <w:sz w:val="20"/>
          <w:szCs w:val="20"/>
          <w:u w:val="words"/>
        </w:rPr>
        <w:tab/>
        <w:t>Name</w:t>
      </w:r>
      <w:r>
        <w:rPr>
          <w:rFonts w:ascii="Times New Roman" w:hAnsi="Times New Roman"/>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SE01</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96</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Number of Included Segments</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N0 1/10</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Total number of segments included in a transaction set including ST and SE segments</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When used in the SE segment, the count includes the total number of segments in the transaction including the ST and SE segments.</w:t>
            </w:r>
          </w:p>
        </w:tc>
      </w:tr>
      <w:tr w:rsidR="00C26B08" w:rsidRPr="00907F65">
        <w:tblPrEx>
          <w:tblCellMar>
            <w:top w:w="0" w:type="dxa"/>
            <w:left w:w="0" w:type="dxa"/>
            <w:bottom w:w="0" w:type="dxa"/>
            <w:right w:w="0" w:type="dxa"/>
          </w:tblCellMar>
        </w:tblPrEx>
        <w:tc>
          <w:tcPr>
            <w:tcW w:w="1007"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080"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SE02</w:t>
            </w:r>
          </w:p>
        </w:tc>
        <w:tc>
          <w:tcPr>
            <w:tcW w:w="89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329</w:t>
            </w:r>
          </w:p>
        </w:tc>
        <w:tc>
          <w:tcPr>
            <w:tcW w:w="4968" w:type="dxa"/>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Transaction Set Control Number</w:t>
            </w:r>
          </w:p>
        </w:tc>
        <w:tc>
          <w:tcPr>
            <w:tcW w:w="432"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r w:rsidRPr="00907F65">
              <w:rPr>
                <w:rFonts w:ascii="Times New Roman" w:eastAsiaTheme="minorEastAsia" w:hAnsi="Times New Roman"/>
                <w:b/>
                <w:bCs/>
                <w:sz w:val="20"/>
                <w:szCs w:val="20"/>
              </w:rPr>
              <w:t>M</w:t>
            </w:r>
          </w:p>
        </w:tc>
        <w:tc>
          <w:tcPr>
            <w:tcW w:w="14" w:type="dxa"/>
            <w:tcBorders>
              <w:top w:val="nil"/>
              <w:left w:val="nil"/>
              <w:bottom w:val="nil"/>
              <w:right w:val="nil"/>
            </w:tcBorders>
          </w:tcPr>
          <w:p w:rsidR="00C26B08" w:rsidRPr="00907F65" w:rsidRDefault="00C26B08">
            <w:pPr>
              <w:autoSpaceDE w:val="0"/>
              <w:autoSpaceDN w:val="0"/>
              <w:adjustRightInd w:val="0"/>
              <w:spacing w:after="0" w:line="240" w:lineRule="auto"/>
              <w:ind w:right="144"/>
              <w:jc w:val="center"/>
              <w:rPr>
                <w:rFonts w:ascii="Times New Roman" w:eastAsiaTheme="minorEastAsia" w:hAnsi="Times New Roman"/>
                <w:sz w:val="24"/>
                <w:szCs w:val="24"/>
              </w:rPr>
            </w:pPr>
          </w:p>
        </w:tc>
        <w:tc>
          <w:tcPr>
            <w:tcW w:w="1440" w:type="dxa"/>
            <w:gridSpan w:val="2"/>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b/>
                <w:bCs/>
                <w:sz w:val="20"/>
                <w:szCs w:val="20"/>
              </w:rPr>
              <w:t>AN 4/9</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Identifying control number that must be unique within the transaction set functional group assigned by the originator for a transaction set</w:t>
            </w:r>
          </w:p>
        </w:tc>
      </w:tr>
      <w:tr w:rsidR="00C26B08" w:rsidRPr="00907F6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p>
        </w:tc>
        <w:tc>
          <w:tcPr>
            <w:tcW w:w="6523" w:type="dxa"/>
            <w:gridSpan w:val="4"/>
            <w:tcBorders>
              <w:top w:val="nil"/>
              <w:left w:val="nil"/>
              <w:bottom w:val="nil"/>
              <w:right w:val="nil"/>
            </w:tcBorders>
            <w:shd w:val="pct20" w:color="auto" w:fill="auto"/>
          </w:tcPr>
          <w:p w:rsidR="00C26B08" w:rsidRPr="00907F65" w:rsidRDefault="00C26B08">
            <w:pPr>
              <w:autoSpaceDE w:val="0"/>
              <w:autoSpaceDN w:val="0"/>
              <w:adjustRightInd w:val="0"/>
              <w:spacing w:after="0" w:line="240" w:lineRule="auto"/>
              <w:ind w:right="144"/>
              <w:rPr>
                <w:rFonts w:ascii="Times New Roman" w:eastAsiaTheme="minorEastAsia" w:hAnsi="Times New Roman"/>
                <w:sz w:val="24"/>
                <w:szCs w:val="24"/>
              </w:rPr>
            </w:pPr>
            <w:r w:rsidRPr="00907F65">
              <w:rPr>
                <w:rFonts w:ascii="Times New Roman" w:eastAsiaTheme="minorEastAsia" w:hAnsi="Times New Roman"/>
                <w:sz w:val="20"/>
                <w:szCs w:val="20"/>
              </w:rPr>
              <w:t>The transaction set control number (SE02) is the same as that used in the corresponding header (ST02).</w:t>
            </w:r>
          </w:p>
        </w:tc>
      </w:tr>
    </w:tbl>
    <w:p w:rsidR="00C26B08" w:rsidRDefault="00C26B08"/>
    <w:sectPr w:rsidR="00C26B0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65" w:rsidRDefault="00907F65">
      <w:pPr>
        <w:spacing w:after="0" w:line="240" w:lineRule="auto"/>
      </w:pPr>
      <w:r>
        <w:separator/>
      </w:r>
    </w:p>
  </w:endnote>
  <w:endnote w:type="continuationSeparator" w:id="0">
    <w:p w:rsidR="00907F65" w:rsidRDefault="00907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48" w:rsidRDefault="00D07E27" w:rsidP="00D07E27">
    <w:pPr>
      <w:pStyle w:val="Footer"/>
      <w:jc w:val="center"/>
    </w:pPr>
    <w:fldSimple w:instr=" DOCPROPERTY CURRENTCLASS \* MERGEFORMAT ">
      <w:r>
        <w:t>Classified - Internal use</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3A" w:rsidRDefault="0004503A" w:rsidP="00191A48">
    <w:pPr>
      <w:tabs>
        <w:tab w:val="center" w:pos="4680"/>
        <w:tab w:val="right" w:pos="9360"/>
      </w:tabs>
      <w:autoSpaceDE w:val="0"/>
      <w:autoSpaceDN w:val="0"/>
      <w:adjustRightInd w:val="0"/>
      <w:spacing w:after="0" w:line="240" w:lineRule="auto"/>
      <w:jc w:val="center"/>
      <w:rPr>
        <w:rFonts w:ascii="Times New Roman" w:hAnsi="Times New Roman"/>
        <w:noProof/>
        <w:sz w:val="18"/>
        <w:szCs w:val="18"/>
      </w:rPr>
    </w:pPr>
    <w:r>
      <w:rPr>
        <w:rFonts w:ascii="Times New Roman" w:hAnsi="Times New Roman"/>
        <w:noProof/>
        <w:sz w:val="18"/>
        <w:szCs w:val="18"/>
      </w:rPr>
      <w:t>EDIDATA_894_(004010UCS)</w:t>
    </w:r>
    <w:r>
      <w:rPr>
        <w:rFonts w:ascii="Times New Roman" w:hAnsi="Times New Roman"/>
        <w:noProof/>
        <w:sz w:val="18"/>
        <w:szCs w:val="18"/>
      </w:rPr>
      <w:tab/>
      <w:t>_</w:t>
    </w:r>
    <w:r>
      <w:rPr>
        <w:rFonts w:ascii="Times New Roman" w:hAnsi="Times New Roman"/>
        <w:noProof/>
        <w:sz w:val="18"/>
        <w:szCs w:val="18"/>
      </w:rPr>
      <w:tab/>
      <w:t>October 31, 2012</w:t>
    </w:r>
  </w:p>
  <w:p w:rsidR="00C26B08" w:rsidRDefault="00D07E27" w:rsidP="00D07E27">
    <w:pPr>
      <w:tabs>
        <w:tab w:val="center" w:pos="4680"/>
        <w:tab w:val="right" w:pos="9360"/>
      </w:tabs>
      <w:autoSpaceDE w:val="0"/>
      <w:autoSpaceDN w:val="0"/>
      <w:adjustRightInd w:val="0"/>
      <w:spacing w:after="0" w:line="240" w:lineRule="auto"/>
      <w:jc w:val="center"/>
      <w:rPr>
        <w:rFonts w:ascii="Times New Roman" w:hAnsi="Times New Roman"/>
        <w:noProof/>
        <w:sz w:val="24"/>
        <w:szCs w:val="24"/>
      </w:rPr>
    </w:pPr>
    <w:fldSimple w:instr=" DOCPROPERTY CURRENTCLASS \* MERGEFORMAT ">
      <w:r>
        <w:rPr>
          <w:rFonts w:ascii="Times New Roman" w:hAnsi="Times New Roman"/>
          <w:noProof/>
          <w:sz w:val="24"/>
          <w:szCs w:val="24"/>
        </w:rPr>
        <w:t>Classified - Internal use</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48" w:rsidRDefault="00D07E27" w:rsidP="00D07E27">
    <w:pPr>
      <w:pStyle w:val="Footer"/>
      <w:jc w:val="center"/>
    </w:pPr>
    <w:fldSimple w:instr=" DOCPROPERTY CURRENTCLASS \* MERGEFORMAT ">
      <w:r>
        <w:t>Classified - Internal use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65" w:rsidRDefault="00907F65">
      <w:pPr>
        <w:spacing w:after="0" w:line="240" w:lineRule="auto"/>
      </w:pPr>
      <w:r>
        <w:separator/>
      </w:r>
    </w:p>
  </w:footnote>
  <w:footnote w:type="continuationSeparator" w:id="0">
    <w:p w:rsidR="00907F65" w:rsidRDefault="00907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48" w:rsidRDefault="00191A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48" w:rsidRDefault="00191A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48" w:rsidRDefault="00191A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A48"/>
    <w:rsid w:val="0004503A"/>
    <w:rsid w:val="00137DFB"/>
    <w:rsid w:val="00191A48"/>
    <w:rsid w:val="003F2ED4"/>
    <w:rsid w:val="0058532A"/>
    <w:rsid w:val="00714364"/>
    <w:rsid w:val="00816CDA"/>
    <w:rsid w:val="00907F65"/>
    <w:rsid w:val="00AC074F"/>
    <w:rsid w:val="00B9587D"/>
    <w:rsid w:val="00BA0F0C"/>
    <w:rsid w:val="00C26B08"/>
    <w:rsid w:val="00D07E27"/>
    <w:rsid w:val="00D2170A"/>
    <w:rsid w:val="00E45C68"/>
    <w:rsid w:val="00EE6576"/>
    <w:rsid w:val="00F752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48"/>
    <w:pPr>
      <w:tabs>
        <w:tab w:val="center" w:pos="4680"/>
        <w:tab w:val="right" w:pos="9360"/>
      </w:tabs>
    </w:pPr>
  </w:style>
  <w:style w:type="character" w:customStyle="1" w:styleId="HeaderChar">
    <w:name w:val="Header Char"/>
    <w:basedOn w:val="DefaultParagraphFont"/>
    <w:link w:val="Header"/>
    <w:uiPriority w:val="99"/>
    <w:locked/>
    <w:rsid w:val="00191A48"/>
    <w:rPr>
      <w:rFonts w:cs="Times New Roman"/>
    </w:rPr>
  </w:style>
  <w:style w:type="paragraph" w:styleId="Footer">
    <w:name w:val="footer"/>
    <w:basedOn w:val="Normal"/>
    <w:link w:val="FooterChar"/>
    <w:uiPriority w:val="99"/>
    <w:unhideWhenUsed/>
    <w:rsid w:val="00191A48"/>
    <w:pPr>
      <w:tabs>
        <w:tab w:val="center" w:pos="4680"/>
        <w:tab w:val="right" w:pos="9360"/>
      </w:tabs>
    </w:pPr>
  </w:style>
  <w:style w:type="character" w:customStyle="1" w:styleId="FooterChar">
    <w:name w:val="Footer Char"/>
    <w:basedOn w:val="DefaultParagraphFont"/>
    <w:link w:val="Footer"/>
    <w:uiPriority w:val="99"/>
    <w:locked/>
    <w:rsid w:val="00191A48"/>
    <w:rPr>
      <w:rFonts w:cs="Times New Roman"/>
    </w:rPr>
  </w:style>
  <w:style w:type="paragraph" w:styleId="NoSpacing">
    <w:name w:val="No Spacing"/>
    <w:uiPriority w:val="1"/>
    <w:qFormat/>
    <w:rsid w:val="0058532A"/>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4D2A389A0954382B94DE238E603D7" ma:contentTypeVersion="0" ma:contentTypeDescription="Create a new document." ma:contentTypeScope="" ma:versionID="f25d3ee2d9528deb241edb621454b4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E594A-9CA2-449F-AF5A-AB59BDDB267E}"/>
</file>

<file path=customXml/itemProps2.xml><?xml version="1.0" encoding="utf-8"?>
<ds:datastoreItem xmlns:ds="http://schemas.openxmlformats.org/officeDocument/2006/customXml" ds:itemID="{10D767C7-3121-4B29-B1F5-704D56E757DE}"/>
</file>

<file path=customXml/itemProps3.xml><?xml version="1.0" encoding="utf-8"?>
<ds:datastoreItem xmlns:ds="http://schemas.openxmlformats.org/officeDocument/2006/customXml" ds:itemID="{634C3A0E-CACC-4E91-BD9F-B2AB05EF2F54}"/>
</file>

<file path=docProps/app.xml><?xml version="1.0" encoding="utf-8"?>
<Properties xmlns="http://schemas.openxmlformats.org/officeDocument/2006/extended-properties" xmlns:vt="http://schemas.openxmlformats.org/officeDocument/2006/docPropsVTypes">
  <Template>Normal</Template>
  <TotalTime>0</TotalTime>
  <Pages>15</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Builder</dc:creator>
  <cp:lastModifiedBy>demarcoj</cp:lastModifiedBy>
  <cp:revision>2</cp:revision>
  <dcterms:created xsi:type="dcterms:W3CDTF">2013-06-14T22:06:00Z</dcterms:created>
  <dcterms:modified xsi:type="dcterms:W3CDTF">2013-06-14T22:06:00Z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a21b5f8f-f75d-49e5-ac46-18e23f1f154d</vt:lpwstr>
  </property>
  <property fmtid="{D5CDD505-2E9C-101B-9397-08002B2CF9AE}" pid="3" name="MODFILEGUID">
    <vt:lpwstr>9503cc7b-a358-40ea-848d-cc0756b48d5a</vt:lpwstr>
  </property>
  <property fmtid="{D5CDD505-2E9C-101B-9397-08002B2CF9AE}" pid="4" name="FILEOWNER">
    <vt:lpwstr>Foresight's Document Builder</vt:lpwstr>
  </property>
  <property fmtid="{D5CDD505-2E9C-101B-9397-08002B2CF9AE}" pid="5" name="MODFILEOWNER">
    <vt:lpwstr>R60004</vt:lpwstr>
  </property>
  <property fmtid="{D5CDD505-2E9C-101B-9397-08002B2CF9AE}" pid="6" name="IPPCLASS">
    <vt:i4>1</vt:i4>
  </property>
  <property fmtid="{D5CDD505-2E9C-101B-9397-08002B2CF9AE}" pid="7" name="MODIPPCLASS">
    <vt:i4>1</vt:i4>
  </property>
  <property fmtid="{D5CDD505-2E9C-101B-9397-08002B2CF9AE}" pid="8" name="MACHINEID">
    <vt:lpwstr>WWDL209725</vt:lpwstr>
  </property>
  <property fmtid="{D5CDD505-2E9C-101B-9397-08002B2CF9AE}" pid="9" name="MODMACHINEID">
    <vt:lpwstr>CBSL197427</vt:lpwstr>
  </property>
  <property fmtid="{D5CDD505-2E9C-101B-9397-08002B2CF9AE}" pid="10" name="CURRENTCLASS">
    <vt:lpwstr>Classified - Internal use</vt:lpwstr>
  </property>
  <property fmtid="{D5CDD505-2E9C-101B-9397-08002B2CF9AE}" pid="11" name="ContentTypeId">
    <vt:lpwstr>0x010100A8E4D2A389A0954382B94DE238E603D7</vt:lpwstr>
  </property>
</Properties>
</file>